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D461" w14:textId="77777777" w:rsidR="0069770D" w:rsidRDefault="00FF453D">
      <w:pPr>
        <w:jc w:val="right"/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t>POLICY STATEMENT ON UNIVERSITY APPLICATION GRADES</w:t>
      </w:r>
    </w:p>
    <w:p w14:paraId="25FD4E5A" w14:textId="77777777" w:rsidR="0069770D" w:rsidRDefault="00FF453D">
      <w:pPr>
        <w:jc w:val="right"/>
        <w:rPr>
          <w:rFonts w:ascii="Calibri" w:hAnsi="Calibri" w:cs="Calibri"/>
          <w:b/>
          <w:bCs/>
          <w:color w:val="2E74B5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  <w:t>____</w:t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</w:r>
      <w:r>
        <w:rPr>
          <w:rStyle w:val="normaltextrun"/>
          <w:rFonts w:ascii="Calibri" w:hAnsi="Calibri" w:cs="Calibri"/>
          <w:b/>
          <w:bCs/>
          <w:color w:val="2E74B5"/>
          <w:shd w:val="clear" w:color="auto" w:fill="FFFFFF"/>
        </w:rPr>
        <w:softHyphen/>
        <w:t>_________________________________________________________________________________</w:t>
      </w:r>
    </w:p>
    <w:p w14:paraId="01B3A69E" w14:textId="77777777" w:rsidR="0069770D" w:rsidRDefault="00FF45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Introduction </w:t>
      </w:r>
    </w:p>
    <w:p w14:paraId="640BBFA8" w14:textId="77777777" w:rsidR="0069770D" w:rsidRDefault="00FF453D">
      <w:pPr>
        <w:jc w:val="both"/>
      </w:pPr>
      <w:r>
        <w:t xml:space="preserve">This policy outlines how Cobham Hall (the School) determines University Application </w:t>
      </w:r>
      <w:r>
        <w:t xml:space="preserve">Grades. </w:t>
      </w:r>
    </w:p>
    <w:p w14:paraId="31C47C15" w14:textId="77777777" w:rsidR="0069770D" w:rsidRDefault="00FF45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University Application Grades? </w:t>
      </w:r>
    </w:p>
    <w:p w14:paraId="59D8F942" w14:textId="77777777" w:rsidR="0069770D" w:rsidRDefault="00FF453D">
      <w:pPr>
        <w:spacing w:line="240" w:lineRule="auto"/>
        <w:jc w:val="both"/>
      </w:pPr>
      <w:r>
        <w:t>The School is required to provide grades for students applying to university through UCAS and they can also be used by the</w:t>
      </w:r>
      <w:r>
        <w:t xml:space="preserve"> School for other student application processes and reference requests. The Universi</w:t>
      </w:r>
      <w:r>
        <w:t xml:space="preserve">ty Application Grades that the School provides represent an aspirational but honest professional </w:t>
      </w:r>
      <w:r>
        <w:rPr>
          <w:color w:val="000000" w:themeColor="text1"/>
        </w:rPr>
        <w:t xml:space="preserve">assessment </w:t>
      </w:r>
      <w:r>
        <w:t>about the most likely final grade the student will achieve in th</w:t>
      </w:r>
      <w:r>
        <w:t xml:space="preserve">e qualification on completion of the course. </w:t>
      </w:r>
    </w:p>
    <w:p w14:paraId="73DF4BB0" w14:textId="77777777" w:rsidR="0069770D" w:rsidRDefault="00FF45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the School’s overall approach </w:t>
      </w:r>
      <w:r>
        <w:rPr>
          <w:b/>
          <w:bCs/>
          <w:sz w:val="24"/>
          <w:szCs w:val="24"/>
        </w:rPr>
        <w:t xml:space="preserve">to University Application Grades? </w:t>
      </w:r>
    </w:p>
    <w:p w14:paraId="5867A2A9" w14:textId="287275B8" w:rsidR="0069770D" w:rsidRDefault="00FF453D">
      <w:pPr>
        <w:spacing w:line="240" w:lineRule="auto"/>
        <w:jc w:val="both"/>
      </w:pPr>
      <w:r>
        <w:t xml:space="preserve">It is essential that the School adopts a consistent ‘evidence-informed’ approach across the student body. The School must be careful </w:t>
      </w:r>
      <w:r>
        <w:t>n</w:t>
      </w:r>
      <w:r>
        <w:t>ot</w:t>
      </w:r>
      <w:r w:rsidR="00F350AA">
        <w:t xml:space="preserve"> to</w:t>
      </w:r>
      <w:r>
        <w:t xml:space="preserve"> artificially inflate University Application Grades as th</w:t>
      </w:r>
      <w:r w:rsidR="00A146AD">
        <w:t>is will</w:t>
      </w:r>
      <w:r w:rsidR="002720A9">
        <w:t xml:space="preserve"> negatively impact a student’s application to </w:t>
      </w:r>
      <w:r w:rsidR="00624FAC">
        <w:t>u</w:t>
      </w:r>
      <w:r w:rsidR="002720A9">
        <w:t>niversity</w:t>
      </w:r>
      <w:r>
        <w:t xml:space="preserve">. However, we are also eager to be aspirational in our approach, to allow our students the best opportunities, where there is evidence to support such a judgement. </w:t>
      </w:r>
    </w:p>
    <w:p w14:paraId="1AD813D3" w14:textId="77777777" w:rsidR="0069770D" w:rsidRDefault="00FF45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are Un</w:t>
      </w:r>
      <w:r>
        <w:rPr>
          <w:b/>
          <w:bCs/>
          <w:sz w:val="24"/>
          <w:szCs w:val="24"/>
        </w:rPr>
        <w:t xml:space="preserve">iversity Application Grades calculated? </w:t>
      </w:r>
    </w:p>
    <w:p w14:paraId="6E7D44BD" w14:textId="77777777" w:rsidR="0069770D" w:rsidRDefault="00FF453D">
      <w:pPr>
        <w:spacing w:line="240" w:lineRule="auto"/>
      </w:pPr>
      <w:r>
        <w:t>Th</w:t>
      </w:r>
      <w:r>
        <w:t>e academic staff at Cobham Hall will use their professional judgment along with a range of evidence to determine the University Application Grade. The following evidence will be taken into account when calculating</w:t>
      </w:r>
      <w:r>
        <w:t xml:space="preserve"> the University Application Grade:</w:t>
      </w:r>
    </w:p>
    <w:p w14:paraId="56C3049D" w14:textId="77777777" w:rsidR="0069770D" w:rsidRDefault="00FF453D">
      <w:pPr>
        <w:pStyle w:val="ListParagraph"/>
        <w:numPr>
          <w:ilvl w:val="0"/>
          <w:numId w:val="1"/>
        </w:numPr>
        <w:spacing w:line="360" w:lineRule="auto"/>
      </w:pPr>
      <w:r>
        <w:t>GCSE per</w:t>
      </w:r>
      <w:r>
        <w:t>formance</w:t>
      </w:r>
    </w:p>
    <w:p w14:paraId="1294E1EA" w14:textId="66750FA5" w:rsidR="0069770D" w:rsidRDefault="00FF453D">
      <w:pPr>
        <w:pStyle w:val="ListParagraph"/>
        <w:numPr>
          <w:ilvl w:val="0"/>
          <w:numId w:val="1"/>
        </w:numPr>
        <w:spacing w:line="360" w:lineRule="auto"/>
      </w:pPr>
      <w:r>
        <w:t xml:space="preserve">Cognitive Ability Tests (CATS) taken at the beginning of year 12.  These are an indication of a student’s </w:t>
      </w:r>
      <w:r w:rsidR="008D78ED">
        <w:t>innate</w:t>
      </w:r>
      <w:r>
        <w:t xml:space="preserve"> ability</w:t>
      </w:r>
      <w:r w:rsidR="00BD7E22">
        <w:t xml:space="preserve"> </w:t>
      </w:r>
    </w:p>
    <w:p w14:paraId="74AB908B" w14:textId="77777777" w:rsidR="0069770D" w:rsidRDefault="00FF453D">
      <w:pPr>
        <w:pStyle w:val="ListParagraph"/>
        <w:numPr>
          <w:ilvl w:val="0"/>
          <w:numId w:val="1"/>
        </w:numPr>
        <w:spacing w:line="360" w:lineRule="auto"/>
      </w:pPr>
      <w:bookmarkStart w:id="0" w:name="_Hlk26206876"/>
      <w:r>
        <w:t>Reports and Grades in Year 12 along with key assessments and work throughout Ye</w:t>
      </w:r>
      <w:r>
        <w:t xml:space="preserve">ar 12 </w:t>
      </w:r>
    </w:p>
    <w:bookmarkEnd w:id="0"/>
    <w:p w14:paraId="74D509B9" w14:textId="77777777" w:rsidR="0069770D" w:rsidRDefault="00FF453D">
      <w:pPr>
        <w:pStyle w:val="ListParagraph"/>
        <w:numPr>
          <w:ilvl w:val="0"/>
          <w:numId w:val="1"/>
        </w:numPr>
        <w:spacing w:line="360" w:lineRule="auto"/>
      </w:pPr>
      <w:r>
        <w:t>Effort and Attitude throughout Year 12</w:t>
      </w:r>
    </w:p>
    <w:p w14:paraId="2BE2E755" w14:textId="77777777" w:rsidR="0069770D" w:rsidRDefault="00FF453D">
      <w:pPr>
        <w:pStyle w:val="ListParagraph"/>
        <w:numPr>
          <w:ilvl w:val="0"/>
          <w:numId w:val="1"/>
        </w:numPr>
        <w:spacing w:line="360" w:lineRule="auto"/>
      </w:pPr>
      <w:r>
        <w:t>Independent work undertaken throughout Year 12</w:t>
      </w:r>
    </w:p>
    <w:p w14:paraId="3AD17BB9" w14:textId="77777777" w:rsidR="0069770D" w:rsidRDefault="00FF453D">
      <w:pPr>
        <w:pStyle w:val="ListParagraph"/>
        <w:numPr>
          <w:ilvl w:val="0"/>
          <w:numId w:val="1"/>
        </w:numPr>
        <w:spacing w:line="360" w:lineRule="auto"/>
      </w:pPr>
      <w:r>
        <w:t>End of Year 12 exams</w:t>
      </w:r>
    </w:p>
    <w:p w14:paraId="11844BDD" w14:textId="77777777" w:rsidR="0069770D" w:rsidRDefault="00FF453D">
      <w:pPr>
        <w:pStyle w:val="ListParagraph"/>
        <w:numPr>
          <w:ilvl w:val="0"/>
          <w:numId w:val="1"/>
        </w:numPr>
        <w:spacing w:line="360" w:lineRule="auto"/>
      </w:pPr>
      <w:r>
        <w:t>Any Extenuating Circumstances that may have affected a student’s performance, (these must be supported by appropriate evidence)</w:t>
      </w:r>
    </w:p>
    <w:p w14:paraId="1B5F2718" w14:textId="77777777" w:rsidR="0069770D" w:rsidRDefault="00FF453D">
      <w:pPr>
        <w:pStyle w:val="ListParagraph"/>
        <w:numPr>
          <w:ilvl w:val="0"/>
          <w:numId w:val="1"/>
        </w:numPr>
        <w:spacing w:line="360" w:lineRule="auto"/>
      </w:pPr>
      <w:r>
        <w:t xml:space="preserve">Any </w:t>
      </w:r>
      <w:r>
        <w:t>additional evidence that can be used as a realistic indi</w:t>
      </w:r>
      <w:r>
        <w:t>cator.</w:t>
      </w:r>
    </w:p>
    <w:p w14:paraId="2C6B73F9" w14:textId="77777777" w:rsidR="0069770D" w:rsidRDefault="0069770D"/>
    <w:p w14:paraId="314CF066" w14:textId="77777777" w:rsidR="0069770D" w:rsidRDefault="00FF45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is this policy communicated to students and parents?  </w:t>
      </w:r>
    </w:p>
    <w:p w14:paraId="6FAF43D5" w14:textId="3B592759" w:rsidR="0069770D" w:rsidRDefault="00FF453D">
      <w:pPr>
        <w:spacing w:line="240" w:lineRule="auto"/>
        <w:jc w:val="both"/>
      </w:pPr>
      <w:r>
        <w:t>At the beginning of Year 12</w:t>
      </w:r>
      <w:r w:rsidR="00E3709A">
        <w:t>,</w:t>
      </w:r>
      <w:r>
        <w:t xml:space="preserve"> students will be made aware of the procedures and timescales along with the process for University Application Grades.  Parents will also be sent a copy of our </w:t>
      </w:r>
      <w:r>
        <w:t xml:space="preserve">process at the beginning of Year 12 and the criteria for </w:t>
      </w:r>
      <w:r w:rsidR="00464471">
        <w:t>determining University Application Grades</w:t>
      </w:r>
      <w:r>
        <w:t xml:space="preserve">.  Our University Application Grade Policy </w:t>
      </w:r>
      <w:r w:rsidR="006A0BD1">
        <w:t>is also available</w:t>
      </w:r>
      <w:r>
        <w:t xml:space="preserve"> on the School’s website.  </w:t>
      </w:r>
    </w:p>
    <w:p w14:paraId="31CA26DC" w14:textId="77777777" w:rsidR="0069770D" w:rsidRDefault="0069770D">
      <w:pPr>
        <w:rPr>
          <w:b/>
          <w:bCs/>
          <w:sz w:val="24"/>
          <w:szCs w:val="24"/>
        </w:rPr>
      </w:pPr>
    </w:p>
    <w:p w14:paraId="5C338520" w14:textId="77777777" w:rsidR="006A0BD1" w:rsidRDefault="006A0BD1">
      <w:pPr>
        <w:rPr>
          <w:b/>
          <w:bCs/>
          <w:sz w:val="24"/>
          <w:szCs w:val="24"/>
        </w:rPr>
      </w:pPr>
    </w:p>
    <w:p w14:paraId="33418FBA" w14:textId="77777777" w:rsidR="0069770D" w:rsidRDefault="00FF45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will students and parents be informed of University Application</w:t>
      </w:r>
      <w:r>
        <w:rPr>
          <w:b/>
          <w:bCs/>
          <w:sz w:val="24"/>
          <w:szCs w:val="24"/>
        </w:rPr>
        <w:t xml:space="preserve"> Grades? </w:t>
      </w:r>
    </w:p>
    <w:p w14:paraId="7533A92F" w14:textId="1020B7DB" w:rsidR="0069770D" w:rsidRDefault="00FF453D">
      <w:pPr>
        <w:jc w:val="both"/>
        <w:textAlignment w:val="baseline"/>
      </w:pPr>
      <w:r>
        <w:t>Students and parents will be made aware of the University Application Grades for all sub</w:t>
      </w:r>
      <w:r>
        <w:t>jects at the end of Year 12.  Before the October half term in Year 13, there is an opportunity to review University Application Grades. Any changes to a stude</w:t>
      </w:r>
      <w:r>
        <w:t>nt’s University Application Grade will be communicated to student</w:t>
      </w:r>
      <w:r w:rsidR="74DE4E98">
        <w:t>s</w:t>
      </w:r>
      <w:r>
        <w:t xml:space="preserve"> and</w:t>
      </w:r>
      <w:r w:rsidR="79123255">
        <w:t xml:space="preserve"> their</w:t>
      </w:r>
      <w:r>
        <w:t xml:space="preserve"> parents. Those studen</w:t>
      </w:r>
      <w:r>
        <w:t xml:space="preserve">ts who join the school in Year 12 will not have a </w:t>
      </w:r>
      <w:r w:rsidR="006A0BD1">
        <w:t>University Application Grade</w:t>
      </w:r>
      <w:r>
        <w:t xml:space="preserve"> until after the October </w:t>
      </w:r>
      <w:r w:rsidR="6165EA6A">
        <w:t>h</w:t>
      </w:r>
      <w:r>
        <w:t xml:space="preserve">alf </w:t>
      </w:r>
      <w:r w:rsidR="0FAFF8F0">
        <w:t>t</w:t>
      </w:r>
      <w:r>
        <w:t>erm</w:t>
      </w:r>
    </w:p>
    <w:p w14:paraId="59EE6F60" w14:textId="77777777" w:rsidR="0069770D" w:rsidRDefault="0069770D">
      <w:pPr>
        <w:textAlignment w:val="baseline"/>
      </w:pPr>
    </w:p>
    <w:p w14:paraId="2B33A718" w14:textId="0428687E" w:rsidR="0069770D" w:rsidRDefault="00FF45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should students do if they think their </w:t>
      </w:r>
      <w:r>
        <w:rPr>
          <w:b/>
          <w:bCs/>
          <w:sz w:val="24"/>
          <w:szCs w:val="24"/>
        </w:rPr>
        <w:t xml:space="preserve">University Application Grade is </w:t>
      </w:r>
      <w:r w:rsidR="00F10A8C">
        <w:rPr>
          <w:b/>
          <w:bCs/>
          <w:sz w:val="24"/>
          <w:szCs w:val="24"/>
        </w:rPr>
        <w:t>not as expecte</w:t>
      </w:r>
      <w:r w:rsidR="00443308">
        <w:rPr>
          <w:b/>
          <w:bCs/>
          <w:sz w:val="24"/>
          <w:szCs w:val="24"/>
        </w:rPr>
        <w:t>d?</w:t>
      </w:r>
    </w:p>
    <w:p w14:paraId="779E08CD" w14:textId="5679EE8F" w:rsidR="0069770D" w:rsidRDefault="00FF453D">
      <w:pPr>
        <w:jc w:val="both"/>
      </w:pPr>
      <w:r>
        <w:t>Students and their parents should remember that the School aims to be</w:t>
      </w:r>
      <w:r>
        <w:t xml:space="preserve"> aspirational in the calculating of University Application Grades, whilst remaining realistic. If</w:t>
      </w:r>
      <w:r w:rsidR="00443308">
        <w:t>,</w:t>
      </w:r>
      <w:r>
        <w:t xml:space="preserve"> after careful consideration</w:t>
      </w:r>
      <w:r w:rsidR="00443308">
        <w:t>,</w:t>
      </w:r>
      <w:r>
        <w:t xml:space="preserve"> a student </w:t>
      </w:r>
      <w:r>
        <w:t>feels that the criteria listed above were not applied fairly when arriving at their University Application Grade, they m</w:t>
      </w:r>
      <w:r>
        <w:t xml:space="preserve">ay speak to their tutor and Head of Upper School who will liaise with subject staff. </w:t>
      </w:r>
      <w:bookmarkStart w:id="1" w:name="_Hlk25778156"/>
    </w:p>
    <w:p w14:paraId="04C48C73" w14:textId="77777777" w:rsidR="0069770D" w:rsidRDefault="0069770D"/>
    <w:bookmarkEnd w:id="1"/>
    <w:p w14:paraId="034CC184" w14:textId="18B1C99B" w:rsidR="0069770D" w:rsidRDefault="00575052" w:rsidP="005750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Application Grades Timeline</w:t>
      </w:r>
    </w:p>
    <w:p w14:paraId="32A89F19" w14:textId="77777777" w:rsidR="0069770D" w:rsidRDefault="00FF453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2D44A0" wp14:editId="5EAE7F1F">
                <wp:simplePos x="0" y="0"/>
                <wp:positionH relativeFrom="column">
                  <wp:posOffset>2884170</wp:posOffset>
                </wp:positionH>
                <wp:positionV relativeFrom="paragraph">
                  <wp:posOffset>1351598</wp:posOffset>
                </wp:positionV>
                <wp:extent cx="133350" cy="647700"/>
                <wp:effectExtent l="57150" t="38100" r="57150" b="762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47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67" coordsize="21600,21600" o:spt="67" adj="16200,5400" path="m0@0l@1@0@1,0@2,0@2@0,21600@0,10800,21600xe" w14:anchorId="60E51EF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6" style="position:absolute;margin-left:227.1pt;margin-top:106.45pt;width:1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5a0d7 [3032]" stroked="f" type="#_x0000_t67" adj="1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">
                <v:fill type="gradient" color2="#5898d4 [3176]" colors="0 #71a6db;.5 #559bdb;1 #438ac9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4FAFA9" wp14:editId="7712D9B5">
                <wp:simplePos x="0" y="0"/>
                <wp:positionH relativeFrom="margin">
                  <wp:posOffset>112395</wp:posOffset>
                </wp:positionH>
                <wp:positionV relativeFrom="paragraph">
                  <wp:posOffset>277495</wp:posOffset>
                </wp:positionV>
                <wp:extent cx="5695950" cy="1028700"/>
                <wp:effectExtent l="57150" t="38100" r="5715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88C94" w14:textId="77777777" w:rsidR="0069770D" w:rsidRDefault="00FF453D">
                            <w:pPr>
                              <w:ind w:left="2835" w:firstLine="127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</w:t>
                            </w:r>
                          </w:p>
                          <w:p w14:paraId="74C5DC8F" w14:textId="77777777" w:rsidR="0069770D" w:rsidRDefault="00FF453D">
                            <w:pPr>
                              <w:spacing w:line="240" w:lineRule="auto"/>
                              <w:jc w:val="center"/>
                            </w:pPr>
                            <w:r>
                              <w:t>Teachers will use a range of evidence over the course of Year 12 in order to determine a University Application Grade e.g.</w:t>
                            </w:r>
                            <w:r>
                              <w:t xml:space="preserve"> classwork, prep, independent work, key assessment</w:t>
                            </w:r>
                            <w:r>
                              <w:t>s, CAT grades, End of Year 12 examinations and GCSE performance</w:t>
                            </w:r>
                          </w:p>
                          <w:p w14:paraId="65AB4F23" w14:textId="77777777" w:rsidR="0069770D" w:rsidRDefault="00697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A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21.85pt;width:448.5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CC88C94" w14:textId="77777777" w:rsidR="0069770D" w:rsidRDefault="00FF453D">
                      <w:pPr>
                        <w:ind w:left="2835" w:firstLine="127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</w:t>
                      </w:r>
                    </w:p>
                    <w:p w14:paraId="74C5DC8F" w14:textId="77777777" w:rsidR="0069770D" w:rsidRDefault="00FF453D">
                      <w:pPr>
                        <w:spacing w:line="240" w:lineRule="auto"/>
                        <w:jc w:val="center"/>
                      </w:pPr>
                      <w:r>
                        <w:t>Teachers will use a range of evidence over the course of Year 12 in order to determine a University Application Grade e.g.</w:t>
                      </w:r>
                      <w:r>
                        <w:t xml:space="preserve"> classwork, prep, independent work, key assessment</w:t>
                      </w:r>
                      <w:r>
                        <w:t>s, CAT grades, End of Year 12 examinations and GCSE performance</w:t>
                      </w:r>
                    </w:p>
                    <w:p w14:paraId="65AB4F23" w14:textId="77777777" w:rsidR="0069770D" w:rsidRDefault="0069770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EC5A21" w14:textId="77777777" w:rsidR="0069770D" w:rsidRDefault="0069770D"/>
    <w:p w14:paraId="4B4A5883" w14:textId="77777777" w:rsidR="0069770D" w:rsidRDefault="00FF453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36E380" wp14:editId="39C26AF6">
                <wp:simplePos x="0" y="0"/>
                <wp:positionH relativeFrom="column">
                  <wp:posOffset>2889568</wp:posOffset>
                </wp:positionH>
                <wp:positionV relativeFrom="paragraph">
                  <wp:posOffset>1183005</wp:posOffset>
                </wp:positionV>
                <wp:extent cx="133350" cy="647700"/>
                <wp:effectExtent l="57150" t="38100" r="57150" b="762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47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Arrow: Down 4" style="position:absolute;margin-left:227.55pt;margin-top:93.15pt;width:1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5a0d7 [3032]" stroked="f" type="#_x0000_t67" adj="1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" w14:anchorId="47CA2431">
                <v:fill type="gradient" color2="#5898d4 [3176]" colors="0 #71a6db;.5 #559bdb;1 #438ac9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28E2174" wp14:editId="51A640EC">
                <wp:simplePos x="0" y="0"/>
                <wp:positionH relativeFrom="margin">
                  <wp:posOffset>114300</wp:posOffset>
                </wp:positionH>
                <wp:positionV relativeFrom="paragraph">
                  <wp:posOffset>354330</wp:posOffset>
                </wp:positionV>
                <wp:extent cx="5695950" cy="771525"/>
                <wp:effectExtent l="57150" t="38100" r="57150" b="857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75291" w14:textId="77777777" w:rsidR="0069770D" w:rsidRDefault="00FF453D">
                            <w:pPr>
                              <w:ind w:left="1701" w:hanging="184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June</w:t>
                            </w:r>
                          </w:p>
                          <w:p w14:paraId="6E4768B4" w14:textId="77777777" w:rsidR="0069770D" w:rsidRDefault="00FF453D">
                            <w:pPr>
                              <w:jc w:val="center"/>
                            </w:pPr>
                            <w:r>
                              <w:t>Students receive their University Application Grades for all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2174" id="_x0000_s1027" type="#_x0000_t202" style="position:absolute;margin-left:9pt;margin-top:27.9pt;width:448.5pt;height:6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E975291" w14:textId="77777777" w:rsidR="0069770D" w:rsidRDefault="00FF453D">
                      <w:pPr>
                        <w:ind w:left="1701" w:hanging="184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June</w:t>
                      </w:r>
                    </w:p>
                    <w:p w14:paraId="6E4768B4" w14:textId="77777777" w:rsidR="0069770D" w:rsidRDefault="00FF453D">
                      <w:pPr>
                        <w:jc w:val="center"/>
                      </w:pPr>
                      <w:r>
                        <w:t>Students receive their University Application Grades for all subjects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328017" w14:textId="77777777" w:rsidR="0069770D" w:rsidRDefault="0069770D"/>
    <w:p w14:paraId="7268DEC6" w14:textId="77777777" w:rsidR="0069770D" w:rsidRDefault="00FF45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2157938" wp14:editId="3CD8513B">
                <wp:simplePos x="0" y="0"/>
                <wp:positionH relativeFrom="margin">
                  <wp:posOffset>113030</wp:posOffset>
                </wp:positionH>
                <wp:positionV relativeFrom="paragraph">
                  <wp:posOffset>394335</wp:posOffset>
                </wp:positionV>
                <wp:extent cx="5719445" cy="723900"/>
                <wp:effectExtent l="57150" t="38100" r="52705" b="762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977CB" w14:textId="77777777" w:rsidR="0069770D" w:rsidRDefault="00FF453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October</w:t>
                            </w:r>
                          </w:p>
                          <w:p w14:paraId="16C58F80" w14:textId="77777777" w:rsidR="0069770D" w:rsidRDefault="00FF453D">
                            <w:pPr>
                              <w:spacing w:line="240" w:lineRule="auto"/>
                              <w:ind w:left="1134" w:hanging="99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By October Half Term all predicted grades are reviewed and finalised. </w:t>
                            </w:r>
                          </w:p>
                          <w:p w14:paraId="341ED26E" w14:textId="77777777" w:rsidR="0069770D" w:rsidRDefault="0069770D"/>
                          <w:p w14:paraId="1D7B90E4" w14:textId="77777777" w:rsidR="0069770D" w:rsidRDefault="00697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7938" id="_x0000_s1028" type="#_x0000_t202" style="position:absolute;margin-left:8.9pt;margin-top:31.05pt;width:450.35pt;height:5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A8977CB" w14:textId="77777777" w:rsidR="0069770D" w:rsidRDefault="00FF453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October</w:t>
                      </w:r>
                    </w:p>
                    <w:p w14:paraId="16C58F80" w14:textId="77777777" w:rsidR="0069770D" w:rsidRDefault="00FF453D">
                      <w:pPr>
                        <w:spacing w:line="240" w:lineRule="auto"/>
                        <w:ind w:left="1134" w:hanging="992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By October Half Term all predicted grades are reviewed and finalised. </w:t>
                      </w:r>
                    </w:p>
                    <w:p w14:paraId="341ED26E" w14:textId="77777777" w:rsidR="0069770D" w:rsidRDefault="0069770D"/>
                    <w:p w14:paraId="1D7B90E4" w14:textId="77777777" w:rsidR="0069770D" w:rsidRDefault="0069770D"/>
                  </w:txbxContent>
                </v:textbox>
                <w10:wrap type="square" anchorx="margin"/>
              </v:shape>
            </w:pict>
          </mc:Fallback>
        </mc:AlternateContent>
      </w:r>
    </w:p>
    <w:p w14:paraId="3C374BD7" w14:textId="77777777" w:rsidR="0069770D" w:rsidRDefault="0069770D"/>
    <w:p w14:paraId="30653EF7" w14:textId="77777777" w:rsidR="0069770D" w:rsidRDefault="00FF453D">
      <w:pPr>
        <w:tabs>
          <w:tab w:val="left" w:pos="8640"/>
        </w:tabs>
      </w:pPr>
      <w:r>
        <w:tab/>
      </w:r>
    </w:p>
    <w:sectPr w:rsidR="0069770D">
      <w:headerReference w:type="default" r:id="rId10"/>
      <w:footerReference w:type="default" r:id="rId11"/>
      <w:pgSz w:w="11906" w:h="16838"/>
      <w:pgMar w:top="1418" w:right="1247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A745" w14:textId="77777777" w:rsidR="000228CB" w:rsidRDefault="000228CB">
      <w:pPr>
        <w:spacing w:after="0" w:line="240" w:lineRule="auto"/>
      </w:pPr>
      <w:r>
        <w:separator/>
      </w:r>
    </w:p>
  </w:endnote>
  <w:endnote w:type="continuationSeparator" w:id="0">
    <w:p w14:paraId="59DFFBA4" w14:textId="77777777" w:rsidR="000228CB" w:rsidRDefault="000228CB">
      <w:pPr>
        <w:spacing w:after="0" w:line="240" w:lineRule="auto"/>
      </w:pPr>
      <w:r>
        <w:continuationSeparator/>
      </w:r>
    </w:p>
  </w:endnote>
  <w:endnote w:type="continuationNotice" w:id="1">
    <w:p w14:paraId="3CA351C7" w14:textId="77777777" w:rsidR="000228CB" w:rsidRDefault="00022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C85F" w14:textId="77777777" w:rsidR="0069770D" w:rsidRDefault="00FF453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Created September 2022</w:t>
    </w:r>
  </w:p>
  <w:p w14:paraId="425AA600" w14:textId="77777777" w:rsidR="0069770D" w:rsidRDefault="00FF453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Date for Review September 2024</w:t>
    </w:r>
  </w:p>
  <w:p w14:paraId="2A9F1E66" w14:textId="77777777" w:rsidR="0069770D" w:rsidRDefault="0069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A473" w14:textId="77777777" w:rsidR="000228CB" w:rsidRDefault="000228CB">
      <w:pPr>
        <w:spacing w:after="0" w:line="240" w:lineRule="auto"/>
      </w:pPr>
      <w:r>
        <w:separator/>
      </w:r>
    </w:p>
  </w:footnote>
  <w:footnote w:type="continuationSeparator" w:id="0">
    <w:p w14:paraId="0FA5E836" w14:textId="77777777" w:rsidR="000228CB" w:rsidRDefault="000228CB">
      <w:pPr>
        <w:spacing w:after="0" w:line="240" w:lineRule="auto"/>
      </w:pPr>
      <w:r>
        <w:continuationSeparator/>
      </w:r>
    </w:p>
  </w:footnote>
  <w:footnote w:type="continuationNotice" w:id="1">
    <w:p w14:paraId="67BDF532" w14:textId="77777777" w:rsidR="000228CB" w:rsidRDefault="000228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8543" w14:textId="77777777" w:rsidR="0069770D" w:rsidRDefault="00FF45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E8140" wp14:editId="408155E2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743075" cy="366395"/>
          <wp:effectExtent l="0" t="0" r="9525" b="0"/>
          <wp:wrapSquare wrapText="bothSides"/>
          <wp:docPr id="26" name="Picture 26" descr="C:\Users\ellimanj\AppData\Local\Microsoft\Windows\INetCache\Content.MSO\F17D6E8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imanj\AppData\Local\Microsoft\Windows\INetCache\Content.MSO\F17D6E8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E3C5193" w14:textId="77777777" w:rsidR="0069770D" w:rsidRDefault="00697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3F2A"/>
    <w:multiLevelType w:val="hybridMultilevel"/>
    <w:tmpl w:val="F3B05A0A"/>
    <w:lvl w:ilvl="0" w:tplc="C30AF6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8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EE"/>
    <w:rsid w:val="000228CB"/>
    <w:rsid w:val="00026CCA"/>
    <w:rsid w:val="001B4DB4"/>
    <w:rsid w:val="00210250"/>
    <w:rsid w:val="002370FD"/>
    <w:rsid w:val="002720A9"/>
    <w:rsid w:val="00274AAD"/>
    <w:rsid w:val="00365B29"/>
    <w:rsid w:val="00373430"/>
    <w:rsid w:val="00443308"/>
    <w:rsid w:val="00464471"/>
    <w:rsid w:val="00483550"/>
    <w:rsid w:val="00570852"/>
    <w:rsid w:val="00575052"/>
    <w:rsid w:val="00624FAC"/>
    <w:rsid w:val="0069770D"/>
    <w:rsid w:val="006A0BD1"/>
    <w:rsid w:val="006A3959"/>
    <w:rsid w:val="007178D7"/>
    <w:rsid w:val="007763ED"/>
    <w:rsid w:val="0082576D"/>
    <w:rsid w:val="00841E83"/>
    <w:rsid w:val="008D78ED"/>
    <w:rsid w:val="00902800"/>
    <w:rsid w:val="00911D59"/>
    <w:rsid w:val="009264C3"/>
    <w:rsid w:val="00964E45"/>
    <w:rsid w:val="009B518C"/>
    <w:rsid w:val="009E3771"/>
    <w:rsid w:val="00A146AD"/>
    <w:rsid w:val="00A36465"/>
    <w:rsid w:val="00B920EE"/>
    <w:rsid w:val="00BD7E22"/>
    <w:rsid w:val="00BE4EBD"/>
    <w:rsid w:val="00D32868"/>
    <w:rsid w:val="00E15025"/>
    <w:rsid w:val="00E3709A"/>
    <w:rsid w:val="00EA7787"/>
    <w:rsid w:val="00F10A8C"/>
    <w:rsid w:val="00F350AA"/>
    <w:rsid w:val="00FF453D"/>
    <w:rsid w:val="084878D5"/>
    <w:rsid w:val="0FAFF8F0"/>
    <w:rsid w:val="38A8BCA2"/>
    <w:rsid w:val="6165EA6A"/>
    <w:rsid w:val="74DE4E98"/>
    <w:rsid w:val="791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5D5A1"/>
  <w15:chartTrackingRefBased/>
  <w15:docId w15:val="{A4DDA541-A761-4E09-B704-66BE9214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ba5f0d-c4be-4d87-8605-329dd7f2e8e2">
      <UserInfo>
        <DisplayName>ReidT</DisplayName>
        <AccountId>65</AccountId>
        <AccountType/>
      </UserInfo>
      <UserInfo>
        <DisplayName>EllimanJ</DisplayName>
        <AccountId>13</AccountId>
        <AccountType/>
      </UserInfo>
      <UserInfo>
        <DisplayName>LentonA</DisplayName>
        <AccountId>1498</AccountId>
        <AccountType/>
      </UserInfo>
      <UserInfo>
        <DisplayName>DrummP</DisplayName>
        <AccountId>1499</AccountId>
        <AccountType/>
      </UserInfo>
      <UserInfo>
        <DisplayName>WilkinsonE</DisplayName>
        <AccountId>19</AccountId>
        <AccountType/>
      </UserInfo>
      <UserInfo>
        <DisplayName>CarneyS</DisplayName>
        <AccountId>97</AccountId>
        <AccountType/>
      </UserInfo>
      <UserInfo>
        <DisplayName>BarrettW</DisplayName>
        <AccountId>52</AccountId>
        <AccountType/>
      </UserInfo>
      <UserInfo>
        <DisplayName>WardVineC</DisplayName>
        <AccountId>1669</AccountId>
        <AccountType/>
      </UserInfo>
      <UserInfo>
        <DisplayName>OdendaalL</DisplayName>
        <AccountId>743</AccountId>
        <AccountType/>
      </UserInfo>
    </SharedWithUsers>
    <lcf76f155ced4ddcb4097134ff3c332f xmlns="2894b937-5ab4-446d-8c7c-8c5ba703ab62">
      <Terms xmlns="http://schemas.microsoft.com/office/infopath/2007/PartnerControls"/>
    </lcf76f155ced4ddcb4097134ff3c332f>
    <TaxCatchAll xmlns="d3ba5f0d-c4be-4d87-8605-329dd7f2e8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BD4320556CB4B8B630F9A6427EC82" ma:contentTypeVersion="16" ma:contentTypeDescription="Create a new document." ma:contentTypeScope="" ma:versionID="ac9c1286b838e077d58f7df1d999fccb">
  <xsd:schema xmlns:xsd="http://www.w3.org/2001/XMLSchema" xmlns:xs="http://www.w3.org/2001/XMLSchema" xmlns:p="http://schemas.microsoft.com/office/2006/metadata/properties" xmlns:ns2="2894b937-5ab4-446d-8c7c-8c5ba703ab62" xmlns:ns3="d3ba5f0d-c4be-4d87-8605-329dd7f2e8e2" targetNamespace="http://schemas.microsoft.com/office/2006/metadata/properties" ma:root="true" ma:fieldsID="2e74ed09d973f1eefe13073a5f2d65a4" ns2:_="" ns3:_="">
    <xsd:import namespace="2894b937-5ab4-446d-8c7c-8c5ba703ab62"/>
    <xsd:import namespace="d3ba5f0d-c4be-4d87-8605-329dd7f2e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b937-5ab4-446d-8c7c-8c5ba703a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fd423d-4c2d-46a5-bd9f-655f22b2a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5f0d-c4be-4d87-8605-329dd7f2e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fdb4b-e980-4877-b3f0-cc98896e9027}" ma:internalName="TaxCatchAll" ma:showField="CatchAllData" ma:web="d3ba5f0d-c4be-4d87-8605-329dd7f2e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0D34A-6DC1-43E6-ABAD-5F2717D7D612}">
  <ds:schemaRefs>
    <ds:schemaRef ds:uri="http://schemas.microsoft.com/office/2006/metadata/properties"/>
    <ds:schemaRef ds:uri="http://schemas.microsoft.com/office/infopath/2007/PartnerControls"/>
    <ds:schemaRef ds:uri="d3ba5f0d-c4be-4d87-8605-329dd7f2e8e2"/>
    <ds:schemaRef ds:uri="2894b937-5ab4-446d-8c7c-8c5ba703ab62"/>
  </ds:schemaRefs>
</ds:datastoreItem>
</file>

<file path=customXml/itemProps2.xml><?xml version="1.0" encoding="utf-8"?>
<ds:datastoreItem xmlns:ds="http://schemas.openxmlformats.org/officeDocument/2006/customXml" ds:itemID="{08A8028A-DC6B-4FB1-9894-09E26CD26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333A1-BAB1-432D-A81D-F301D703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4b937-5ab4-446d-8c7c-8c5ba703ab62"/>
    <ds:schemaRef ds:uri="d3ba5f0d-c4be-4d87-8605-329dd7f2e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535</Words>
  <Characters>3052</Characters>
  <Application>Microsoft Office Word</Application>
  <DocSecurity>4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Carney</dc:creator>
  <cp:keywords/>
  <dc:description/>
  <cp:lastModifiedBy>DrummP</cp:lastModifiedBy>
  <cp:revision>35</cp:revision>
  <dcterms:created xsi:type="dcterms:W3CDTF">2022-10-10T19:46:00Z</dcterms:created>
  <dcterms:modified xsi:type="dcterms:W3CDTF">2022-10-13T06:23:00Z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0x0101008E8BD4320556CB4B8B630F9A6427EC82</vt:lpwstr>
  </property>
  <property fmtid="{D5CDD505-2E9C-101B-9397-08002B2CF9AE}" pid="3" name="Order">
    <vt:r8>6939800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